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2" w:rsidRPr="007E14E8" w:rsidRDefault="007E14E8" w:rsidP="007E14E8">
      <w:pPr>
        <w:pStyle w:val="Nagwek1"/>
        <w:spacing w:after="347"/>
        <w:ind w:left="8506" w:firstLine="0"/>
        <w:jc w:val="left"/>
        <w:rPr>
          <w:rFonts w:ascii="Times New Roman" w:hAnsi="Times New Roman" w:cs="Times New Roman"/>
          <w:i/>
          <w:color w:val="AEAAAA" w:themeColor="background2" w:themeShade="BF"/>
          <w:szCs w:val="24"/>
        </w:rPr>
      </w:pPr>
      <w:r w:rsidRPr="007E14E8">
        <w:rPr>
          <w:rFonts w:ascii="Times New Roman" w:hAnsi="Times New Roman" w:cs="Times New Roman"/>
          <w:i/>
          <w:color w:val="AEAAAA" w:themeColor="background2" w:themeShade="BF"/>
          <w:szCs w:val="24"/>
        </w:rPr>
        <w:t>Z</w:t>
      </w:r>
      <w:r w:rsidR="007B1FF2" w:rsidRPr="007E14E8">
        <w:rPr>
          <w:rFonts w:ascii="Times New Roman" w:hAnsi="Times New Roman" w:cs="Times New Roman"/>
          <w:i/>
          <w:color w:val="AEAAAA" w:themeColor="background2" w:themeShade="BF"/>
          <w:szCs w:val="24"/>
        </w:rPr>
        <w:t xml:space="preserve">ałącznik nr 2                    </w:t>
      </w:r>
      <w:r w:rsidR="00CA0217" w:rsidRPr="007E14E8">
        <w:rPr>
          <w:rFonts w:ascii="Times New Roman" w:hAnsi="Times New Roman" w:cs="Times New Roman"/>
          <w:i/>
          <w:color w:val="AEAAAA" w:themeColor="background2" w:themeShade="BF"/>
          <w:szCs w:val="24"/>
        </w:rPr>
        <w:t xml:space="preserve">                                          </w:t>
      </w:r>
    </w:p>
    <w:p w:rsidR="0086606E" w:rsidRDefault="007B1FF2">
      <w:pPr>
        <w:pStyle w:val="Nagwek1"/>
        <w:spacing w:after="347"/>
      </w:pPr>
      <w:r>
        <w:t xml:space="preserve">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="00E165A5">
        <w:t>Kosztorys ofertowy</w:t>
      </w:r>
      <w:r w:rsidR="00CA0217">
        <w:t xml:space="preserve">                            </w:t>
      </w:r>
      <w:r>
        <w:t xml:space="preserve">       </w:t>
      </w:r>
      <w:r w:rsidR="00CA0217">
        <w:t xml:space="preserve"> </w:t>
      </w:r>
      <w:r>
        <w:tab/>
      </w:r>
      <w:r>
        <w:tab/>
      </w:r>
      <w:r>
        <w:tab/>
      </w:r>
    </w:p>
    <w:p w:rsidR="0086606E" w:rsidRDefault="00E165A5">
      <w:pPr>
        <w:tabs>
          <w:tab w:val="center" w:pos="2294"/>
          <w:tab w:val="center" w:pos="5369"/>
        </w:tabs>
        <w:spacing w:after="22" w:line="260" w:lineRule="auto"/>
      </w:pPr>
      <w:r>
        <w:tab/>
      </w:r>
      <w:r>
        <w:rPr>
          <w:rFonts w:ascii="Arial" w:eastAsia="Arial" w:hAnsi="Arial" w:cs="Arial"/>
          <w:sz w:val="17"/>
        </w:rPr>
        <w:t>Nazwa kosztorysu: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>WYMIANA STOLARKI OKIENNEJ W BUDYNKU SZKOŁY</w:t>
      </w:r>
    </w:p>
    <w:p w:rsidR="007B1FF2" w:rsidRDefault="00E165A5">
      <w:pPr>
        <w:spacing w:after="22" w:line="260" w:lineRule="auto"/>
        <w:ind w:left="3161" w:hanging="199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sz w:val="17"/>
        </w:rPr>
        <w:t>Nazwa obiektu lub robót: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 xml:space="preserve">Budynek Zespołu Szkolno </w:t>
      </w:r>
      <w:r w:rsidR="007B1FF2">
        <w:rPr>
          <w:rFonts w:ascii="Arial" w:eastAsia="Arial" w:hAnsi="Arial" w:cs="Arial"/>
          <w:b/>
          <w:sz w:val="17"/>
        </w:rPr>
        <w:t xml:space="preserve">- </w:t>
      </w:r>
      <w:r>
        <w:rPr>
          <w:rFonts w:ascii="Arial" w:eastAsia="Arial" w:hAnsi="Arial" w:cs="Arial"/>
          <w:b/>
          <w:sz w:val="17"/>
        </w:rPr>
        <w:t xml:space="preserve">Przedszkolnego </w:t>
      </w:r>
      <w:r w:rsidR="007B1FF2">
        <w:rPr>
          <w:rFonts w:ascii="Arial" w:eastAsia="Arial" w:hAnsi="Arial" w:cs="Arial"/>
          <w:b/>
          <w:sz w:val="17"/>
        </w:rPr>
        <w:t xml:space="preserve">w Witkowicach ul, Beskidzka 98 </w:t>
      </w:r>
    </w:p>
    <w:p w:rsidR="0086606E" w:rsidRDefault="00E165A5">
      <w:pPr>
        <w:tabs>
          <w:tab w:val="center" w:pos="2560"/>
          <w:tab w:val="center" w:pos="4772"/>
        </w:tabs>
        <w:spacing w:after="22" w:line="260" w:lineRule="auto"/>
      </w:pPr>
      <w:r>
        <w:tab/>
      </w:r>
      <w:r>
        <w:rPr>
          <w:rFonts w:ascii="Arial" w:eastAsia="Arial" w:hAnsi="Arial" w:cs="Arial"/>
          <w:sz w:val="17"/>
        </w:rPr>
        <w:t>Lokalizacja: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>Witkowice ul. Beskidzka 98, 32-650 Kęty.</w:t>
      </w:r>
    </w:p>
    <w:p w:rsidR="005C5F99" w:rsidRDefault="00E165A5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b/>
          <w:sz w:val="17"/>
        </w:rPr>
      </w:pPr>
      <w:r>
        <w:tab/>
      </w:r>
      <w:r>
        <w:rPr>
          <w:rFonts w:ascii="Arial" w:eastAsia="Arial" w:hAnsi="Arial" w:cs="Arial"/>
          <w:sz w:val="17"/>
        </w:rPr>
        <w:t>Zamawiający: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>Zespół Szkolno Przedszkolny w Witkowicach ul. Beskidzka 98, 32-650 Kęty</w:t>
      </w:r>
    </w:p>
    <w:p w:rsidR="005C5F99" w:rsidRDefault="005C5F99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b/>
          <w:sz w:val="17"/>
        </w:rPr>
      </w:pPr>
    </w:p>
    <w:p w:rsidR="005C5F99" w:rsidRDefault="005C5F99" w:rsidP="005C5F99"/>
    <w:tbl>
      <w:tblPr>
        <w:tblStyle w:val="TableGrid"/>
        <w:tblW w:w="10706" w:type="dxa"/>
        <w:tblInd w:w="-36" w:type="dxa"/>
        <w:tblCellMar>
          <w:top w:w="16" w:type="dxa"/>
          <w:left w:w="14" w:type="dxa"/>
          <w:bottom w:w="42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309"/>
        <w:gridCol w:w="5703"/>
        <w:gridCol w:w="873"/>
        <w:gridCol w:w="614"/>
        <w:gridCol w:w="911"/>
        <w:gridCol w:w="878"/>
      </w:tblGrid>
      <w:tr w:rsidR="005C5F99" w:rsidTr="005C5F99">
        <w:trPr>
          <w:trHeight w:val="461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&lt;-NR</w:t>
            </w:r>
          </w:p>
          <w:p w:rsidR="005C5F99" w:rsidRDefault="005C5F99" w:rsidP="00C74BAC">
            <w:pPr>
              <w:ind w:left="101"/>
            </w:pPr>
            <w:r>
              <w:rPr>
                <w:rFonts w:ascii="Arial" w:eastAsia="Arial" w:hAnsi="Arial" w:cs="Arial"/>
                <w:b/>
                <w:sz w:val="17"/>
              </w:rPr>
              <w:t>Nr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&lt;-PO</w:t>
            </w:r>
          </w:p>
          <w:p w:rsidR="005C5F99" w:rsidRDefault="005C5F99" w:rsidP="00C74BAC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Podstawa ceny jednostkowej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&lt;-OP</w:t>
            </w:r>
          </w:p>
          <w:p w:rsidR="005C5F99" w:rsidRDefault="005C5F99" w:rsidP="00C74BAC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Opis robót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&lt;-JE</w:t>
            </w:r>
          </w:p>
          <w:p w:rsidR="005C5F99" w:rsidRDefault="005C5F99" w:rsidP="00C74BAC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Jm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&lt;-ILO</w:t>
            </w:r>
          </w:p>
          <w:p w:rsidR="005C5F99" w:rsidRDefault="005C5F99" w:rsidP="00C74BAC">
            <w:pPr>
              <w:ind w:left="101"/>
            </w:pPr>
            <w:r>
              <w:rPr>
                <w:rFonts w:ascii="Arial" w:eastAsia="Arial" w:hAnsi="Arial" w:cs="Arial"/>
                <w:b/>
                <w:sz w:val="17"/>
              </w:rPr>
              <w:t>Ilość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&lt;-CE</w:t>
            </w:r>
          </w:p>
          <w:p w:rsidR="005C5F99" w:rsidRDefault="005C5F99" w:rsidP="00C74BAC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Cena jedn.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C5F99" w:rsidRDefault="005C5F99" w:rsidP="00C74BAC">
            <w:pPr>
              <w:spacing w:after="133"/>
            </w:pPr>
            <w:r>
              <w:rPr>
                <w:rFonts w:ascii="Arial" w:eastAsia="Arial" w:hAnsi="Arial" w:cs="Arial"/>
                <w:color w:val="F8F8F8"/>
                <w:sz w:val="2"/>
              </w:rPr>
              <w:t>&lt;-WA</w:t>
            </w:r>
          </w:p>
          <w:p w:rsidR="005C5F99" w:rsidRDefault="005C5F99" w:rsidP="00C74BAC">
            <w:pPr>
              <w:ind w:left="96"/>
            </w:pPr>
            <w:r>
              <w:rPr>
                <w:rFonts w:ascii="Arial" w:eastAsia="Arial" w:hAnsi="Arial" w:cs="Arial"/>
                <w:b/>
                <w:sz w:val="17"/>
              </w:rPr>
              <w:t>Wartość</w:t>
            </w:r>
          </w:p>
        </w:tc>
      </w:tr>
      <w:tr w:rsidR="005C5F99" w:rsidTr="005C5F99">
        <w:trPr>
          <w:trHeight w:val="290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1309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Kosztorys</w:t>
            </w:r>
          </w:p>
        </w:tc>
        <w:tc>
          <w:tcPr>
            <w:tcW w:w="570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b/>
                <w:sz w:val="19"/>
              </w:rPr>
              <w:t>WYMIANA STOLARKI OKIENNEJ W BUDYNKU SZKOŁY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61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91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720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Element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>Wymiana istniejących okien drewnianych na PCV od strony zachodniej - część nowa i stara bez okien na poddaszu nad częścią starą.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3600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Kalkulacja indywidualna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line="248" w:lineRule="auto"/>
              <w:ind w:left="14" w:right="276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Demontaż okien drewnianych i parapetów zewnętrznych stalowych oraz montaż nowych okien PCV, parapetów stalowych zewnętrznych, nakładek renowacyjnych z PCV na parapety wewnętrzne wg wskazań w pozycjach poniższych - z materiałami montażowymi. </w:t>
            </w:r>
          </w:p>
          <w:p w:rsidR="005C5F99" w:rsidRDefault="005C5F99" w:rsidP="00C74BAC">
            <w:pPr>
              <w:spacing w:after="203"/>
              <w:ind w:left="14"/>
            </w:pPr>
            <w:r>
              <w:rPr>
                <w:rFonts w:ascii="Arial" w:eastAsia="Arial" w:hAnsi="Arial" w:cs="Arial"/>
                <w:sz w:val="17"/>
              </w:rPr>
              <w:t xml:space="preserve">Oraz wykonanie prac towarzyszących z wszystkimi materiałami:      </w:t>
            </w:r>
          </w:p>
          <w:p w:rsidR="005C5F99" w:rsidRDefault="005C5F99" w:rsidP="00C74BAC">
            <w:pPr>
              <w:numPr>
                <w:ilvl w:val="0"/>
                <w:numId w:val="1"/>
              </w:numPr>
              <w:spacing w:after="11"/>
            </w:pPr>
            <w:r>
              <w:rPr>
                <w:rFonts w:ascii="Arial" w:eastAsia="Arial" w:hAnsi="Arial" w:cs="Arial"/>
                <w:sz w:val="17"/>
              </w:rPr>
              <w:t xml:space="preserve">Uzupełnienie tynków na ościeżach wewnętrznych i zewnętrznych; </w:t>
            </w:r>
          </w:p>
          <w:p w:rsidR="005C5F99" w:rsidRDefault="005C5F99" w:rsidP="00C74BAC">
            <w:pPr>
              <w:numPr>
                <w:ilvl w:val="0"/>
                <w:numId w:val="1"/>
              </w:numPr>
              <w:spacing w:after="9" w:line="255" w:lineRule="auto"/>
            </w:pPr>
            <w:r>
              <w:rPr>
                <w:rFonts w:ascii="Arial" w:eastAsia="Arial" w:hAnsi="Arial" w:cs="Arial"/>
                <w:sz w:val="17"/>
              </w:rPr>
              <w:t>Wypełnienie przestrzeni za parapetami  i pod dolnymi ościeżnicami - stryropianem;</w:t>
            </w:r>
          </w:p>
          <w:p w:rsidR="005C5F99" w:rsidRDefault="005C5F99" w:rsidP="00C74BAC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17"/>
              </w:rPr>
              <w:t>Wyprofilowanie spadków pod parapety;</w:t>
            </w:r>
          </w:p>
          <w:p w:rsidR="005C5F99" w:rsidRDefault="005C5F99" w:rsidP="00C74BAC">
            <w:pPr>
              <w:numPr>
                <w:ilvl w:val="0"/>
                <w:numId w:val="1"/>
              </w:numPr>
              <w:spacing w:after="6"/>
            </w:pPr>
            <w:r>
              <w:rPr>
                <w:rFonts w:ascii="Arial" w:eastAsia="Arial" w:hAnsi="Arial" w:cs="Arial"/>
                <w:sz w:val="17"/>
              </w:rPr>
              <w:t xml:space="preserve">Wykonanie obróbek pod oknami w sali komputerowe; </w:t>
            </w:r>
          </w:p>
          <w:p w:rsidR="005C5F99" w:rsidRDefault="005C5F99" w:rsidP="00C74BAC">
            <w:pPr>
              <w:numPr>
                <w:ilvl w:val="0"/>
                <w:numId w:val="1"/>
              </w:numPr>
              <w:spacing w:line="255" w:lineRule="auto"/>
            </w:pPr>
            <w:r>
              <w:rPr>
                <w:rFonts w:ascii="Arial" w:eastAsia="Arial" w:hAnsi="Arial" w:cs="Arial"/>
                <w:sz w:val="17"/>
              </w:rPr>
              <w:t>Odbudowa ościeży wewnętrznych płytami G-K 12,5 mm z wykończeniem</w:t>
            </w:r>
          </w:p>
          <w:p w:rsidR="005C5F99" w:rsidRDefault="005C5F99" w:rsidP="00C74BAC">
            <w:pPr>
              <w:spacing w:after="6"/>
              <w:ind w:left="1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            narożników kątownikami aluminiowymi z zaokrąglonymi krawędziami; </w:t>
            </w:r>
          </w:p>
          <w:p w:rsidR="005C5F99" w:rsidRDefault="005C5F99" w:rsidP="00C74BAC">
            <w:pPr>
              <w:numPr>
                <w:ilvl w:val="0"/>
                <w:numId w:val="1"/>
              </w:numPr>
              <w:spacing w:line="264" w:lineRule="auto"/>
            </w:pPr>
            <w:r>
              <w:rPr>
                <w:rFonts w:ascii="Arial" w:eastAsia="Arial" w:hAnsi="Arial" w:cs="Arial"/>
                <w:sz w:val="17"/>
              </w:rPr>
              <w:t xml:space="preserve">Zabezpieczenie podłóg kartonami podczas wykonywanych prac; 7. Wykonanie innych czynności związanych z montażem okien (bez poprawek </w:t>
            </w:r>
            <w:r w:rsidR="00C857C9">
              <w:rPr>
                <w:rFonts w:ascii="Arial" w:eastAsia="Arial" w:hAnsi="Arial" w:cs="Arial"/>
                <w:sz w:val="17"/>
              </w:rPr>
              <w:t>malarskich</w:t>
            </w:r>
            <w:bookmarkStart w:id="0" w:name="_GoBack"/>
            <w:bookmarkEnd w:id="0"/>
          </w:p>
          <w:p w:rsidR="005C5F99" w:rsidRDefault="005C5F99" w:rsidP="00C857C9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szt okien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4"/>
            </w:pPr>
            <w:r>
              <w:rPr>
                <w:rFonts w:ascii="Arial" w:eastAsia="Arial" w:hAnsi="Arial" w:cs="Arial"/>
                <w:sz w:val="17"/>
              </w:rPr>
              <w:t>36,00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2222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Kalkulacja indywidualna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after="197" w:line="248" w:lineRule="auto"/>
              <w:ind w:left="14" w:right="170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Dostawa okien z PCV seria DPQ-76, Uw 1,1, okleina obustronna kolor srebrno-szary faktura drewna (RAL 7044), okucia np. WINKHAUS, pakiet szybowy z ciepłą ramką w kolorze jasno szarym RAL 7035 EN 673, klamka typ 1006  T40 F1 srabrna, listwy przyszybowe SL82 srebrno szare, nawietrzak np. AERECO EMM 737 RAL 7045. Pozostałe parametry w/g SST. Można zastosować inny system okien o równorzędnych parametrach, po uzgodnieniu z zamawiającym. </w:t>
            </w:r>
          </w:p>
          <w:p w:rsidR="005C5F99" w:rsidRDefault="005C5F99" w:rsidP="00C74BAC">
            <w:pPr>
              <w:ind w:left="14" w:right="213"/>
              <w:jc w:val="both"/>
            </w:pPr>
            <w:r>
              <w:rPr>
                <w:rFonts w:ascii="Arial" w:eastAsia="Arial" w:hAnsi="Arial" w:cs="Arial"/>
                <w:sz w:val="17"/>
              </w:rPr>
              <w:t>Uwaga: Przy dokonywaniu pomiarów roboczych przez wykonawcę, uwzględnić grubość docieplenia szpalet zewnętrzych i grubość profilowania pod parapety zewnętrzne.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4"/>
            </w:pPr>
            <w:r>
              <w:rPr>
                <w:rFonts w:ascii="Arial" w:eastAsia="Arial" w:hAnsi="Arial" w:cs="Arial"/>
                <w:sz w:val="17"/>
              </w:rPr>
              <w:t>89,59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451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Kalkulacja indywidualna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  <w:jc w:val="both"/>
            </w:pPr>
            <w:r>
              <w:rPr>
                <w:rFonts w:ascii="Arial" w:eastAsia="Arial" w:hAnsi="Arial" w:cs="Arial"/>
                <w:sz w:val="17"/>
              </w:rPr>
              <w:t>Dostawa parapetów z blachy stalowej 0,7 mm kolor grafit z zaślepkami z tworzywa (szerokość 30-45 cm)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4"/>
            </w:pPr>
            <w:r>
              <w:rPr>
                <w:rFonts w:ascii="Arial" w:eastAsia="Arial" w:hAnsi="Arial" w:cs="Arial"/>
                <w:sz w:val="17"/>
              </w:rPr>
              <w:t>53,50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648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Kalkulacja indywidualna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spacing w:line="248" w:lineRule="auto"/>
              <w:ind w:left="1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Dostawa nakładek renowacyjnych na parapety wewnętrzne, z PCV kolor " marmurek popielaty" , z bocznymi zakończeniami,  o szerokości do 50 cm. </w:t>
            </w:r>
          </w:p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/bez klatki schodowej/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4"/>
            </w:pPr>
            <w:r>
              <w:rPr>
                <w:rFonts w:ascii="Arial" w:eastAsia="Arial" w:hAnsi="Arial" w:cs="Arial"/>
                <w:sz w:val="17"/>
              </w:rPr>
              <w:t>47,88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451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Kalkulacja indywidualna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 xml:space="preserve">Dostawa listew osłonowych </w:t>
            </w:r>
            <w:r w:rsidR="00CA0217">
              <w:rPr>
                <w:rFonts w:ascii="Arial" w:eastAsia="Arial" w:hAnsi="Arial" w:cs="Arial"/>
                <w:sz w:val="17"/>
              </w:rPr>
              <w:t>nad parapetowych</w:t>
            </w:r>
            <w:r>
              <w:rPr>
                <w:rFonts w:ascii="Arial" w:eastAsia="Arial" w:hAnsi="Arial" w:cs="Arial"/>
                <w:sz w:val="17"/>
              </w:rPr>
              <w:t xml:space="preserve"> z PCV kolor " marmurek popielaty" szerokości do 8 cm.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m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4"/>
            </w:pPr>
            <w:r>
              <w:rPr>
                <w:rFonts w:ascii="Arial" w:eastAsia="Arial" w:hAnsi="Arial" w:cs="Arial"/>
                <w:sz w:val="17"/>
              </w:rPr>
              <w:t>11,60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C5F99" w:rsidRDefault="005C5F99" w:rsidP="00C74BAC"/>
        </w:tc>
      </w:tr>
      <w:tr w:rsidR="005C5F99" w:rsidTr="005C5F99">
        <w:trPr>
          <w:trHeight w:val="451"/>
        </w:trPr>
        <w:tc>
          <w:tcPr>
            <w:tcW w:w="4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Kalkulacja indywidualna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Wywóz i utylizacja okien drewnianych z oszkleniem oraz gruzu,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"/>
            </w:pPr>
            <w:r>
              <w:rPr>
                <w:rFonts w:ascii="Arial" w:eastAsia="Arial" w:hAnsi="Arial" w:cs="Arial"/>
                <w:sz w:val="17"/>
              </w:rPr>
              <w:t>szt okien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bottom"/>
          </w:tcPr>
          <w:p w:rsidR="005C5F99" w:rsidRDefault="005C5F99" w:rsidP="00C74BAC">
            <w:pPr>
              <w:ind w:left="144"/>
            </w:pPr>
            <w:r>
              <w:rPr>
                <w:rFonts w:ascii="Arial" w:eastAsia="Arial" w:hAnsi="Arial" w:cs="Arial"/>
                <w:sz w:val="17"/>
              </w:rPr>
              <w:t>36,00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5C5F99" w:rsidRDefault="005C5F99" w:rsidP="00C74BAC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5C5F99" w:rsidRDefault="005C5F99" w:rsidP="00C74BAC"/>
        </w:tc>
      </w:tr>
    </w:tbl>
    <w:p w:rsidR="00CA0217" w:rsidRDefault="00CA0217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sz w:val="17"/>
        </w:rPr>
      </w:pPr>
    </w:p>
    <w:p w:rsidR="007E14E8" w:rsidRDefault="007E14E8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sz w:val="17"/>
        </w:rPr>
      </w:pPr>
    </w:p>
    <w:p w:rsidR="007E14E8" w:rsidRDefault="007E14E8" w:rsidP="007E14E8">
      <w:pPr>
        <w:tabs>
          <w:tab w:val="center" w:pos="2486"/>
          <w:tab w:val="center" w:pos="6116"/>
        </w:tabs>
        <w:spacing w:after="22" w:line="260" w:lineRule="auto"/>
        <w:jc w:val="right"/>
        <w:rPr>
          <w:rFonts w:ascii="Arial" w:eastAsia="Arial" w:hAnsi="Arial" w:cs="Arial"/>
          <w:sz w:val="17"/>
        </w:rPr>
      </w:pPr>
      <w:r w:rsidRPr="007E14E8">
        <w:rPr>
          <w:rFonts w:ascii="Arial" w:eastAsia="Arial" w:hAnsi="Arial" w:cs="Arial"/>
          <w:sz w:val="17"/>
        </w:rPr>
        <w:t xml:space="preserve">strona nr :       1  </w:t>
      </w:r>
    </w:p>
    <w:p w:rsidR="007B1FF2" w:rsidRDefault="007B1FF2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sz w:val="17"/>
        </w:rPr>
      </w:pPr>
    </w:p>
    <w:p w:rsidR="00CA0217" w:rsidRDefault="00CA0217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sz w:val="17"/>
        </w:rPr>
      </w:pPr>
    </w:p>
    <w:p w:rsidR="007E14E8" w:rsidRDefault="005C5F99" w:rsidP="005C5F99">
      <w:pPr>
        <w:tabs>
          <w:tab w:val="center" w:pos="2486"/>
          <w:tab w:val="center" w:pos="6116"/>
        </w:tabs>
        <w:spacing w:after="22" w:line="260" w:lineRule="auto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>1ś.  Wymiana okien ZSP Witkowice 2020r</w:t>
      </w:r>
      <w:r>
        <w:rPr>
          <w:rFonts w:ascii="Arial" w:eastAsia="Arial" w:hAnsi="Arial" w:cs="Arial"/>
          <w:sz w:val="17"/>
        </w:rPr>
        <w:tab/>
        <w:t xml:space="preserve">                                                                                                          </w:t>
      </w:r>
    </w:p>
    <w:p w:rsidR="005C5F99" w:rsidRPr="005C5F99" w:rsidRDefault="005C5F99" w:rsidP="005C5F99">
      <w:pPr>
        <w:tabs>
          <w:tab w:val="center" w:pos="2486"/>
          <w:tab w:val="center" w:pos="6116"/>
        </w:tabs>
        <w:spacing w:after="22" w:line="260" w:lineRule="auto"/>
      </w:pPr>
      <w:r>
        <w:rPr>
          <w:rFonts w:ascii="Arial" w:eastAsia="Arial" w:hAnsi="Arial" w:cs="Arial"/>
          <w:sz w:val="17"/>
        </w:rPr>
        <w:t>WYMIANA STOLARKI OKIENNEJ W BUDYNKU SZKOŁY</w:t>
      </w:r>
    </w:p>
    <w:p w:rsidR="005C5F99" w:rsidRDefault="005C5F99" w:rsidP="005C5F99"/>
    <w:p w:rsidR="005C5F99" w:rsidRPr="000B315A" w:rsidRDefault="000B315A" w:rsidP="000B315A">
      <w:pPr>
        <w:tabs>
          <w:tab w:val="left" w:pos="1650"/>
        </w:tabs>
        <w:jc w:val="center"/>
        <w:rPr>
          <w:b/>
          <w:sz w:val="28"/>
          <w:szCs w:val="28"/>
        </w:rPr>
      </w:pPr>
      <w:r w:rsidRPr="000B315A">
        <w:rPr>
          <w:b/>
          <w:sz w:val="28"/>
          <w:szCs w:val="28"/>
        </w:rPr>
        <w:t>Tabela elementów scalonych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418"/>
        <w:gridCol w:w="1417"/>
        <w:gridCol w:w="1452"/>
      </w:tblGrid>
      <w:tr w:rsidR="000B315A" w:rsidTr="000B315A">
        <w:tc>
          <w:tcPr>
            <w:tcW w:w="704" w:type="dxa"/>
          </w:tcPr>
          <w:p w:rsidR="000B315A" w:rsidRDefault="000B315A" w:rsidP="005C5F99">
            <w:pPr>
              <w:tabs>
                <w:tab w:val="left" w:pos="1650"/>
              </w:tabs>
            </w:pPr>
            <w:r>
              <w:t>Nr</w:t>
            </w:r>
          </w:p>
        </w:tc>
        <w:tc>
          <w:tcPr>
            <w:tcW w:w="5670" w:type="dxa"/>
          </w:tcPr>
          <w:p w:rsidR="000B315A" w:rsidRDefault="000B315A" w:rsidP="005C5F99">
            <w:pPr>
              <w:tabs>
                <w:tab w:val="left" w:pos="1650"/>
              </w:tabs>
            </w:pPr>
            <w:r>
              <w:t>Nazwa</w:t>
            </w:r>
          </w:p>
        </w:tc>
        <w:tc>
          <w:tcPr>
            <w:tcW w:w="1418" w:type="dxa"/>
          </w:tcPr>
          <w:p w:rsidR="000B315A" w:rsidRDefault="000B315A" w:rsidP="005C5F99">
            <w:pPr>
              <w:tabs>
                <w:tab w:val="left" w:pos="1650"/>
              </w:tabs>
            </w:pPr>
            <w:r>
              <w:t>Wartość netto</w:t>
            </w:r>
          </w:p>
        </w:tc>
        <w:tc>
          <w:tcPr>
            <w:tcW w:w="1417" w:type="dxa"/>
          </w:tcPr>
          <w:p w:rsidR="000B315A" w:rsidRDefault="000B315A" w:rsidP="005C5F99">
            <w:pPr>
              <w:tabs>
                <w:tab w:val="left" w:pos="1650"/>
              </w:tabs>
            </w:pPr>
            <w:r>
              <w:t>Vat</w:t>
            </w:r>
          </w:p>
        </w:tc>
        <w:tc>
          <w:tcPr>
            <w:tcW w:w="1452" w:type="dxa"/>
          </w:tcPr>
          <w:p w:rsidR="000B315A" w:rsidRDefault="000B315A" w:rsidP="005C5F99">
            <w:pPr>
              <w:tabs>
                <w:tab w:val="left" w:pos="1650"/>
              </w:tabs>
            </w:pPr>
            <w:r>
              <w:t>Wartość brutto</w:t>
            </w:r>
          </w:p>
        </w:tc>
      </w:tr>
      <w:tr w:rsidR="000B315A" w:rsidTr="00AF415B">
        <w:tc>
          <w:tcPr>
            <w:tcW w:w="704" w:type="dxa"/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9957" w:type="dxa"/>
            <w:gridSpan w:val="4"/>
          </w:tcPr>
          <w:p w:rsidR="000B315A" w:rsidRDefault="000B315A" w:rsidP="005C5F99">
            <w:pPr>
              <w:tabs>
                <w:tab w:val="left" w:pos="1650"/>
              </w:tabs>
            </w:pPr>
            <w:r>
              <w:t>WYMIANA STOLARKI OKIENNEJ W BUDYNKU SZKOŁY</w:t>
            </w:r>
          </w:p>
        </w:tc>
      </w:tr>
      <w:tr w:rsidR="000B315A" w:rsidTr="000B315A">
        <w:tc>
          <w:tcPr>
            <w:tcW w:w="704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  <w: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  <w:r>
              <w:t>Wymiana istniejących okien drewnianych na PCV od strony zachodniej- część nowa i stara bez okien na poddaszu nad częścią starą.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</w:tr>
      <w:tr w:rsidR="000B315A" w:rsidTr="000B315A">
        <w:tc>
          <w:tcPr>
            <w:tcW w:w="704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  <w:r>
              <w:t>Suma elementów kosztorysu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</w:tr>
      <w:tr w:rsidR="000B315A" w:rsidTr="000B3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A" w:rsidRDefault="000B315A" w:rsidP="000B315A">
            <w:pPr>
              <w:tabs>
                <w:tab w:val="left" w:pos="1650"/>
              </w:tabs>
            </w:pPr>
            <w:r>
              <w:t xml:space="preserve">Razem: WYMIANA STOLARKI OKIENNEJ W BUDYNKU SZKOŁY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A" w:rsidRDefault="000B315A" w:rsidP="005C5F99">
            <w:pPr>
              <w:tabs>
                <w:tab w:val="left" w:pos="1650"/>
              </w:tabs>
            </w:pPr>
          </w:p>
        </w:tc>
      </w:tr>
    </w:tbl>
    <w:p w:rsidR="000B315A" w:rsidRPr="005C5F99" w:rsidRDefault="000B315A" w:rsidP="005C5F99">
      <w:pPr>
        <w:tabs>
          <w:tab w:val="left" w:pos="1650"/>
        </w:tabs>
      </w:pPr>
    </w:p>
    <w:p w:rsidR="00C448C5" w:rsidRDefault="00C448C5" w:rsidP="005C5F99">
      <w:pPr>
        <w:tabs>
          <w:tab w:val="center" w:pos="2486"/>
          <w:tab w:val="center" w:pos="6116"/>
        </w:tabs>
        <w:spacing w:after="22" w:line="260" w:lineRule="auto"/>
      </w:pPr>
    </w:p>
    <w:p w:rsidR="00C448C5" w:rsidRDefault="00C448C5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Default="007E14E8" w:rsidP="00C448C5"/>
    <w:p w:rsidR="007E14E8" w:rsidRPr="007E14E8" w:rsidRDefault="007E14E8" w:rsidP="007E14E8">
      <w:pPr>
        <w:jc w:val="right"/>
        <w:rPr>
          <w:rFonts w:ascii="Arial" w:hAnsi="Arial" w:cs="Arial"/>
          <w:sz w:val="17"/>
          <w:szCs w:val="17"/>
        </w:rPr>
      </w:pPr>
      <w:r w:rsidRPr="007E14E8">
        <w:rPr>
          <w:rFonts w:ascii="Arial" w:hAnsi="Arial" w:cs="Arial"/>
          <w:sz w:val="17"/>
          <w:szCs w:val="17"/>
        </w:rPr>
        <w:t xml:space="preserve">strona nr: </w:t>
      </w:r>
      <w:r w:rsidRPr="007E14E8">
        <w:rPr>
          <w:rFonts w:ascii="Arial" w:hAnsi="Arial" w:cs="Arial"/>
          <w:sz w:val="17"/>
          <w:szCs w:val="17"/>
        </w:rPr>
        <w:tab/>
        <w:t xml:space="preserve">2                        </w:t>
      </w:r>
    </w:p>
    <w:sectPr w:rsidR="007E14E8" w:rsidRPr="007E14E8">
      <w:pgSz w:w="11899" w:h="16819"/>
      <w:pgMar w:top="594" w:right="342" w:bottom="2290" w:left="8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35B7"/>
    <w:multiLevelType w:val="hybridMultilevel"/>
    <w:tmpl w:val="DCAC53C2"/>
    <w:lvl w:ilvl="0" w:tplc="976A2498">
      <w:start w:val="1"/>
      <w:numFmt w:val="decimal"/>
      <w:lvlText w:val="%1.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4028BBE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9CCE040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9F6DD6E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F21812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9CBB9E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91A8170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E24F02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C6DFE8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E"/>
    <w:rsid w:val="000B315A"/>
    <w:rsid w:val="005C5F99"/>
    <w:rsid w:val="007B1FF2"/>
    <w:rsid w:val="007E14E8"/>
    <w:rsid w:val="0086606E"/>
    <w:rsid w:val="00C448C5"/>
    <w:rsid w:val="00C857C9"/>
    <w:rsid w:val="00CA0217"/>
    <w:rsid w:val="00E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F3DE"/>
  <w15:docId w15:val="{3641FCBD-E814-488E-B2FD-78E0A9F5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3" w:line="265" w:lineRule="auto"/>
      <w:ind w:left="10" w:right="4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B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WYMIANA STOLARKI OKIENNEJ W BUDYNKU SZKOŁY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WYMIANA STOLARKI OKIENNEJ W BUDYNKU SZKOŁY</dc:title>
  <dc:subject/>
  <dc:creator>Adam Żużałek</dc:creator>
  <cp:keywords>Jeżeli chcesz przekonwertować ten plik do formatu XML, który może być wczytany przez większość systemów do kosztorysowania, skorzystaj z programu PDFKosztorys - www.pdfkosztorys.pl</cp:keywords>
  <cp:lastModifiedBy>Renata Gałuszka</cp:lastModifiedBy>
  <cp:revision>11</cp:revision>
  <dcterms:created xsi:type="dcterms:W3CDTF">2020-02-20T13:17:00Z</dcterms:created>
  <dcterms:modified xsi:type="dcterms:W3CDTF">2020-02-21T09:54:00Z</dcterms:modified>
</cp:coreProperties>
</file>